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400pt; height:26.666666666667pt; margin-left:0pt; margin-top:0pt; mso-position-horizontal:left; mso-position-vertical:top; mso-position-horizontal-relative:char; mso-position-vertical-relative:line;">
            <w10:wrap type="inline"/>
            <v:imagedata r:id="rId7" o:title=""/>
          </v:shape>
        </w:pict>
      </w:r>
    </w:p>
    <w:p>
      <w:pPr>
        <w:pStyle w:val="pStyle"/>
      </w:pPr>
      <w:r>
        <w:rPr>
          <w:rFonts w:ascii="微软雅黑" w:hAnsi="微软雅黑" w:eastAsia="微软雅黑" w:cs="微软雅黑"/>
          <w:sz w:val="24"/>
          <w:szCs w:val="24"/>
          <w:b w:val="1"/>
          <w:bCs w:val="1"/>
        </w:rPr>
        <w:t xml:space="preserve">青铜峡黄河大峡谷108塔+光耀美食街+红山河一日游行程单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产品编号</w:t>
            </w:r>
          </w:p>
        </w:tc>
        <w:tc>
          <w:tcPr>
            <w:tcW w:w="2300" w:type="dxa"/>
          </w:tcPr>
          <w:p>
            <w:pPr>
              <w:pStyle w:val="indent"/>
            </w:pPr>
            <w:r>
              <w:rPr>
                <w:rFonts w:ascii="微软雅黑" w:hAnsi="微软雅黑" w:eastAsia="微软雅黑" w:cs="微软雅黑"/>
                <w:color w:val="000000"/>
                <w:sz w:val="20"/>
                <w:szCs w:val="20"/>
              </w:rPr>
              <w:t xml:space="preserve">nx1650768153pq</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出发地</w:t>
            </w:r>
          </w:p>
        </w:tc>
        <w:tc>
          <w:tcPr>
            <w:tcW w:w="2300" w:type="dxa"/>
          </w:tcPr>
          <w:p>
            <w:pPr>
              <w:pStyle w:val="indent"/>
            </w:pPr>
            <w:r>
              <w:rPr>
                <w:rFonts w:ascii="微软雅黑" w:hAnsi="微软雅黑" w:eastAsia="微软雅黑" w:cs="微软雅黑"/>
                <w:color w:val="000000"/>
                <w:sz w:val="20"/>
                <w:szCs w:val="20"/>
              </w:rPr>
              <w:t xml:space="preserve">银川市</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目的地</w:t>
            </w:r>
          </w:p>
        </w:tc>
        <w:tc>
          <w:tcPr>
            <w:tcW w:w="2300" w:type="dxa"/>
          </w:tcPr>
          <w:p>
            <w:pPr>
              <w:pStyle w:val="indent"/>
            </w:pPr>
            <w:r>
              <w:rPr>
                <w:rFonts w:ascii="微软雅黑" w:hAnsi="微软雅黑" w:eastAsia="微软雅黑" w:cs="微软雅黑"/>
                <w:color w:val="000000"/>
                <w:sz w:val="20"/>
                <w:szCs w:val="20"/>
              </w:rPr>
              <w:t xml:space="preserve">吴忠市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行程天数</w:t>
            </w:r>
          </w:p>
        </w:tc>
        <w:tc>
          <w:tcPr>
            <w:tcW w:w="2300" w:type="dxa"/>
          </w:tcPr>
          <w:p>
            <w:pPr>
              <w:pStyle w:val="indent"/>
            </w:pPr>
            <w:r>
              <w:rPr>
                <w:rFonts w:ascii="微软雅黑" w:hAnsi="微软雅黑" w:eastAsia="微软雅黑" w:cs="微软雅黑"/>
                <w:color w:val="000000"/>
                <w:sz w:val="20"/>
                <w:szCs w:val="20"/>
              </w:rPr>
              <w:t xml:space="preserve">1</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去程交通</w:t>
            </w:r>
          </w:p>
        </w:tc>
        <w:tc>
          <w:tcPr>
            <w:tcW w:w="2300" w:type="dxa"/>
          </w:tcPr>
          <w:p>
            <w:pPr>
              <w:pStyle w:val="indent"/>
            </w:pPr>
            <w:r>
              <w:rPr>
                <w:rFonts w:ascii="微软雅黑" w:hAnsi="微软雅黑" w:eastAsia="微软雅黑" w:cs="微软雅黑"/>
                <w:color w:val="000000"/>
                <w:sz w:val="20"/>
                <w:szCs w:val="20"/>
              </w:rPr>
              <w:t xml:space="preserve">无</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返程交通</w:t>
            </w:r>
          </w:p>
        </w:tc>
        <w:tc>
          <w:tcPr>
            <w:tcW w:w="2300" w:type="dxa"/>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黄河文化</w:t>
            </w:r>
          </w:p>
        </w:tc>
      </w:tr>
    </w:tbl>
    <w:p>
      <w:pPr>
        <w:jc w:val="left"/>
        <w:spacing w:before="10" w:after="10"/>
      </w:pPr>
      <w:r>
        <w:rPr>
          <w:rFonts w:ascii="微软雅黑" w:hAnsi="微软雅黑" w:eastAsia="微软雅黑" w:cs="微软雅黑"/>
          <w:sz w:val="22"/>
          <w:szCs w:val="22"/>
          <w:b w:val="1"/>
          <w:bCs w:val="1"/>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val="1"/>
                <w:bCs w:val="1"/>
              </w:rPr>
              <w:t xml:space="preserve">D1</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银川-青铜峡-银川
                <w:br/>
              </w:t>
            </w:r>
          </w:p>
          <w:p>
            <w:pPr>
              <w:pStyle w:val="indent"/>
            </w:pPr>
            <w:r>
              <w:rPr>
                <w:rFonts w:ascii="微软雅黑" w:hAnsi="微软雅黑" w:eastAsia="微软雅黑" w:cs="微软雅黑"/>
                <w:color w:val="000000"/>
                <w:sz w:val="20"/>
                <w:szCs w:val="20"/>
              </w:rPr>
              <w:t xml:space="preserve">
                ►8点30 指定地点集合； 
                <w:br/>
                ►9点30 游览 【青铜峡黄河大峡谷】（游览约3小时）一百零八塔，塔群随山势凿石分阶而建，共分十二阶梯式平台，由下而上逐层增高，依山势自上而下，按1、3、3、5、5、7、9••••••的奇数排列成十二行，形成总体平面呈三角形的巨大塔群，总计一百零八座，因塔数而得名。是世上稀有的大型塔阵，以其独特的建筑格局、神秘的西夏历史和深远的佛教文化闻名遐迩。
                <w:br/>
                南有都江堰，北有青铜峡。青铜峡水利枢纽工程是新中国成立初期在黄河上游建立最早的工程之一，它的建成结束了宁夏两千多年来无坝引水的历史。秦渠、汉渠、唐徕渠等九大干渠之首汇集于青铜峡，充分利用黄河水资源实施自流灌溉，极大地推动了宁夏工农业以及经济社会的全面发展，成就了"天下黄河富宁夏、塞上江南宁夏川"的美誉。
                <w:br/>
                ►13点30【光耀美食街】光耀美食街是吴忠市打造的又一个主题创意街区，首度创新“享美食+人文街区”的运营模式，旨在营造一个“+餐饮”、“+场景” 、“+创意”的主题生活空间。颠覆消费者以往对美食街的印象，将民族风情与都市时尚相结合，打造出具有民族风情创意的美食街区。 
                <w:br/>
                ►15点00【红山河】红山河食品主要从事固态、半固态调味料的加工和销售，主要产品有“红山河”牌干辣椒制品、火锅底料、佐餐调料、油辣椒四大系列40多个品种。
                <w:br/>
                ►16点00  乘车前往银川并散团；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val="1"/>
          <w:bCs w:val="1"/>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用车安排：往返空调旅游车，保证一人一座；
                <w:br/>
                导游安排：全程专职导游服务；
                <w:br/>
                景点安排：行程所列景点含首道大门票
                <w:br/>
                保    险：旅行社责任险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1、不含青铜峡大峡谷船费  60元（必须消费）</w:t>
            </w:r>
          </w:p>
        </w:tc>
      </w:tr>
    </w:tbl>
    <w:p>
      <w:pPr>
        <w:jc w:val="left"/>
        <w:spacing w:before="10" w:after="10"/>
      </w:pPr>
      <w:r>
        <w:rPr>
          <w:rFonts w:ascii="微软雅黑" w:hAnsi="微软雅黑" w:eastAsia="微软雅黑" w:cs="微软雅黑"/>
          <w:sz w:val="22"/>
          <w:szCs w:val="22"/>
          <w:b w:val="1"/>
          <w:bCs w:val="1"/>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val="1"/>
                <w:bCs w:val="1"/>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val="1"/>
                <w:bCs w:val="1"/>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参考价格</w:t>
            </w:r>
          </w:p>
        </w:tc>
      </w:tr>
      <w:tr>
        <w:trPr/>
        <w:tc>
          <w:tcPr/>
          <w:p>
            <w:pPr>
              <w:pStyle w:val="indent"/>
            </w:pPr>
            <w:r>
              <w:rPr>
                <w:rFonts w:ascii="微软雅黑" w:hAnsi="微软雅黑" w:eastAsia="微软雅黑" w:cs="微软雅黑"/>
                <w:color w:val="000000"/>
                <w:sz w:val="20"/>
                <w:szCs w:val="20"/>
              </w:rPr>
              <w:t xml:space="preserve"/>
            </w:r>
          </w:p>
        </w:tc>
        <w:tc>
          <w:tcPr/>
          <w:p>
            <w:pPr>
              <w:pStyle w:val="indent"/>
            </w:pPr>
            <w:r>
              <w:rPr>
                <w:rFonts w:ascii="微软雅黑" w:hAnsi="微软雅黑" w:eastAsia="微软雅黑" w:cs="微软雅黑"/>
                <w:color w:val="000000"/>
                <w:sz w:val="20"/>
                <w:szCs w:val="20"/>
              </w:rPr>
              <w:t xml:space="preserve">1、不含青铜峡大峡谷船费  60元（必须消费）</w:t>
            </w:r>
          </w:p>
        </w:tc>
        <w:tc>
          <w:tcPr/>
          <w:p>
            <w:pPr>
              <w:pStyle w:val="indent"/>
            </w:pPr>
            <w:r>
              <w:rPr>
                <w:rFonts w:ascii="微软雅黑" w:hAnsi="微软雅黑" w:eastAsia="微软雅黑" w:cs="微软雅黑"/>
                <w:color w:val="000000"/>
                <w:sz w:val="20"/>
                <w:szCs w:val="20"/>
              </w:rPr>
              <w:t xml:space="preserve"/>
            </w:r>
          </w:p>
        </w:tc>
        <w:tc>
          <w:tcPr/>
          <w:p>
            <w:pPr>
              <w:pStyle w:val="right"/>
            </w:pPr>
            <w:r>
              <w:rPr>
                <w:rFonts w:ascii="微软雅黑" w:hAnsi="微软雅黑" w:eastAsia="微软雅黑" w:cs="微软雅黑"/>
                <w:color w:val="000000"/>
                <w:sz w:val="20"/>
                <w:szCs w:val="20"/>
              </w:rPr>
              <w:t xml:space="preserve"/>
            </w:r>
          </w:p>
        </w:tc>
      </w:tr>
    </w:tbl>
    <w:p>
      <w:pPr>
        <w:jc w:val="left"/>
        <w:spacing w:before="10" w:after="10"/>
      </w:pPr>
      <w:r>
        <w:rPr>
          <w:rFonts w:ascii="微软雅黑" w:hAnsi="微软雅黑" w:eastAsia="微软雅黑" w:cs="微软雅黑"/>
          <w:sz w:val="22"/>
          <w:szCs w:val="22"/>
          <w:b w:val="1"/>
          <w:bCs w:val="1"/>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预订须知</w:t>
            </w:r>
          </w:p>
        </w:tc>
        <w:tc>
          <w:tcPr>
            <w:tcW w:w="8200" w:type="dxa"/>
          </w:tcPr>
          <w:p>
            <w:pPr>
              <w:pStyle w:val="indent"/>
            </w:pPr>
            <w:r>
              <w:rPr>
                <w:rFonts w:ascii="微软雅黑" w:hAnsi="微软雅黑" w:eastAsia="微软雅黑" w:cs="微软雅黑"/>
                <w:color w:val="000000"/>
                <w:sz w:val="20"/>
                <w:szCs w:val="20"/>
              </w:rPr>
              <w:t xml:space="preserve">
                1.参团说明
                <w:br/>
                （1）70岁（含）以上的老人参团的，须有一名亲友陪同并须签署参团申明。
                <w:br/>
                （2）未满18周岁的未成年人无监护人陪同参团的，须由监护人签署参团申明。
                <w:br/>
                （3）身孕周期在24周（含）以上的孕妇，不得参团；身孕周期在24周以下的，须有一名家属陪同并须签署参团申明。
                <w:br/>
                2．产品说明：中国国旅所属“国旅假期”产品分为：品质之旅、大众假期、联合假期。品质之旅、大众假期为中国国旅独立成团产品；联合假期为与其他旅行社联合发团产品。
                <w:br/>
                3．交通说明：
                <w:br/>
                （1）旅行社旅游产品中所包含的飞机票多为团队经济舱票，依照航空公司规定，不得更改、签转、退票。
                <w:br/>
                （2）包机、火车包列、包船产品所乘交通工具为预先包位，一旦签订旅游合同，即视为出票，如因游客个人原因退团，我社将全额扣除包机（火车包列、包船）票款，请您报名时认真考虑。飞行时间、车程、船程等为预计参考时间，以实际发生时间为准。
                <w:br/>
                （3）如遇国家或航空公司政策性调整机票、燃油附加费等价格，请按调整后的价格补足差价。
                <w:br/>
                4．住宿说明：
                <w:br/>
                （1）凡是旅游主管部门评定的星级酒店，我社均按酒店星级标准进行标注。
                <w:br/>
                （2）对于没有参与星级评定的部分酒店，为便于选择旅游产品，我社酌情直接参照国内外主流酒店预订网站（如携程、艺龙、booking等）的用户网评标准，如5钻（豪华型）、4钻（高档型）、3钻（舒适型）、2钻（经济型及以下）等，并用“赞”进行酒店等级标注。酒店等级标注仅表明在酒店可获得的舒适度，标注等级高的酒店一般会提供更高的舒适度和更完备的设施。酒店的地点、当地市场行情或者其他情况，都会影响到等级标注；相同的等级标注对于不同的城市乃至酒店，会有不同的实际感受。同样等级标注只表示酒店可提供的设施或服务大体相同，但不必然表示完全一致，与实际入住的当地同等级星级酒店标准也略有差别，仅供选择旅游产品时参考。
                <w:br/>
                （3）在旅游旺季或其他特殊原因，凡无法确定准确的住宿场所名称或酒店等级的，我社均填写了参考候选住宿场所名称。但所列酒店名称范围仅供参考，最终以《出团通知》为准，保证酒店同级。
                <w:br/>
                （4）在签署本旅游合同时，因特殊原因，对个别无法确定住宿场所名称、等级的，我社可能会根据旅游产品的具体情况，注明可以确保的入住场所房间类型，如：双方标准间；双人大床房等。
                <w:br/>
                （5）一般情况下，产品报价中所含房费按双人标准间/2人核算。如要求三人间或加床，需视入住酒店房型及预订情况而定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温馨提示</w:t>
            </w:r>
          </w:p>
        </w:tc>
        <w:tc>
          <w:tcPr>
            <w:tcW w:w="8200" w:type="dxa"/>
          </w:tcPr>
          <w:p>
            <w:pPr>
              <w:pStyle w:val="indent"/>
            </w:pPr>
            <w:r>
              <w:rPr>
                <w:rFonts w:ascii="微软雅黑" w:hAnsi="微软雅黑" w:eastAsia="微软雅黑" w:cs="微软雅黑"/>
                <w:color w:val="000000"/>
                <w:sz w:val="20"/>
                <w:szCs w:val="20"/>
              </w:rPr>
              <w:t xml:space="preserve">
                银川地处我国西北内陆，日照强度与昼夜温
                <w:br/>
                差较大，请游客根据自身情况，带足御寒衣物，水壶等，太阳帽，太阳镜和特级防晒油以作外出护肤之用。天气干燥，应多喝水。宁夏属回族自治区，请尊重当地少数民族习俗！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退改规则</w:t>
            </w:r>
          </w:p>
        </w:tc>
        <w:tc>
          <w:tcPr>
            <w:tcW w:w="8200" w:type="dxa"/>
          </w:tcPr>
          <w:p>
            <w:pPr>
              <w:pStyle w:val="indent"/>
            </w:pPr>
            <w:r>
              <w:rPr>
                <w:rFonts w:ascii="微软雅黑" w:hAnsi="微软雅黑" w:eastAsia="微软雅黑" w:cs="微软雅黑"/>
                <w:color w:val="000000"/>
                <w:sz w:val="20"/>
                <w:szCs w:val="20"/>
              </w:rPr>
              <w:t xml:space="preserve">
                旅游者在行程开始前30日以内提出解除合同或者按照本合同第十二条第2款约定由出境社在行程开始前解除合同的，按下列标准扣除必要的费用：
                <w:br/>
                <w:br/>
                行程开始前29日至15日，按旅游费用总额的5%；
                <w:br/>
                <w:br/>
                行程开始前14日至7日，按旅游费用总额的20%；
                <w:br/>
                <w:br/>
                行程开始前6日至4日，按旅游费用总额的50%；
                <w:br/>
                <w:br/>
                行程开始前3日至1日，按旅游费用总额的60%；
                <w:br/>
                <w:br/>
                行程开始当日，按旅游费用总额的70%。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打印日期：2025-06-01</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pn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2025-06-01T17:35:58+08:00</dcterms:created>
  <dcterms:modified xsi:type="dcterms:W3CDTF">2025-06-01T17:35:58+08:00</dcterms:modified>
</cp:coreProperties>
</file>

<file path=docProps/custom.xml><?xml version="1.0" encoding="utf-8"?>
<Properties xmlns="http://schemas.openxmlformats.org/officeDocument/2006/custom-properties" xmlns:vt="http://schemas.openxmlformats.org/officeDocument/2006/docPropsVTypes"/>
</file>